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附件2</w:t>
      </w:r>
    </w:p>
    <w:p>
      <w:pPr>
        <w:spacing w:after="156" w:afterLines="50" w:line="640" w:lineRule="exact"/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“读懂中国”活动作品评审参考标准</w:t>
      </w:r>
    </w:p>
    <w:p>
      <w:pPr>
        <w:spacing w:after="312" w:afterLines="100" w:line="480" w:lineRule="exact"/>
        <w:ind w:left="170"/>
        <w:rPr>
          <w:rFonts w:ascii="Times New Roman" w:hAnsi="Times New Roman" w:eastAsia="楷体_GB2312" w:cs="宋体"/>
          <w:b/>
          <w:sz w:val="32"/>
          <w:szCs w:val="32"/>
        </w:rPr>
      </w:pPr>
      <w:r>
        <w:rPr>
          <w:rFonts w:hint="eastAsia" w:ascii="Times New Roman" w:hAnsi="Times New Roman" w:eastAsia="楷体_GB2312" w:cs="宋体"/>
          <w:b/>
          <w:sz w:val="32"/>
          <w:szCs w:val="32"/>
        </w:rPr>
        <w:t>一、征文评审标准（总分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100</w:t>
      </w:r>
      <w:r>
        <w:rPr>
          <w:rFonts w:hint="eastAsia" w:ascii="Times New Roman" w:hAnsi="Times New Roman" w:eastAsia="楷体_GB2312" w:cs="宋体"/>
          <w:b/>
          <w:sz w:val="32"/>
          <w:szCs w:val="32"/>
        </w:rPr>
        <w:t>分）</w:t>
      </w:r>
      <w:bookmarkStart w:id="0" w:name="_GoBack"/>
      <w:bookmarkEnd w:id="0"/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1"/>
        <w:gridCol w:w="5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1749" w:type="pc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紧扣主题、立意明确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（30分）</w:t>
            </w:r>
          </w:p>
        </w:tc>
        <w:tc>
          <w:tcPr>
            <w:tcW w:w="3251" w:type="pct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记录、展示“五老”在中国特色社会主义事业和建设教育强国、科技强国、人才强国中的感人事迹和人生体验，以及对青年学生积极投身教育强国建设实践的重托和建议。若偏题酌情扣分。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749" w:type="pc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内容详实、表述得当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（20分）</w:t>
            </w:r>
          </w:p>
        </w:tc>
        <w:tc>
          <w:tcPr>
            <w:tcW w:w="3251" w:type="pct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突出“五老”人物事迹，强调故事性和细节描述，以“五老”的个体经历反映出中国特色社会主义教育事业取得的伟大成就，切忌写成“五老”个人简历。根据文章实际情况酌情赋分。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749" w:type="pc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语言优美、文笔流畅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（20分）</w:t>
            </w:r>
          </w:p>
        </w:tc>
        <w:tc>
          <w:tcPr>
            <w:tcW w:w="3251" w:type="pct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根据文章实际情况酌情赋分。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749" w:type="pc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情感真实、表达细腻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（20分）</w:t>
            </w:r>
          </w:p>
        </w:tc>
        <w:tc>
          <w:tcPr>
            <w:tcW w:w="3251" w:type="pct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根据文章实际情况酌情赋分。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749" w:type="pc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文体合规、用字规范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（10分）</w:t>
            </w:r>
          </w:p>
        </w:tc>
        <w:tc>
          <w:tcPr>
            <w:tcW w:w="3251" w:type="pct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文体为记叙文，字数不超过2000字。文体有误或字数超过2400字即此项为0分，字数在2001-2400字之间或出现不规范用字的酌情扣分。</w:t>
            </w:r>
          </w:p>
        </w:tc>
      </w:tr>
    </w:tbl>
    <w:p>
      <w:pPr>
        <w:spacing w:after="312" w:afterLines="100" w:line="480" w:lineRule="exact"/>
        <w:ind w:left="170"/>
        <w:rPr>
          <w:rFonts w:ascii="Times New Roman" w:hAnsi="Times New Roman" w:eastAsia="楷体_GB2312" w:cs="宋体"/>
          <w:b/>
          <w:sz w:val="32"/>
          <w:szCs w:val="32"/>
        </w:rPr>
      </w:pPr>
      <w:r>
        <w:rPr>
          <w:rFonts w:hint="eastAsia" w:ascii="Times New Roman" w:hAnsi="Times New Roman" w:eastAsia="楷体_GB2312" w:cs="宋体"/>
          <w:b/>
          <w:sz w:val="32"/>
          <w:szCs w:val="32"/>
        </w:rPr>
        <w:t>二、微视频评审标准（总分100分）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1249" w:type="pc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10567670</wp:posOffset>
                      </wp:positionV>
                      <wp:extent cx="7465695" cy="1270"/>
                      <wp:effectExtent l="6985" t="13970" r="13970" b="3810"/>
                      <wp:wrapNone/>
                      <wp:docPr id="7" name="组合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65695" cy="1270"/>
                                <a:chOff x="86" y="16642"/>
                                <a:chExt cx="11757" cy="2"/>
                              </a:xfrm>
                            </wpg:grpSpPr>
                            <wps:wsp>
                              <wps:cNvPr id="8" name="Freeform 5"/>
                              <wps:cNvSpPr/>
                              <wps:spPr bwMode="auto">
                                <a:xfrm>
                                  <a:off x="86" y="16642"/>
                                  <a:ext cx="11757" cy="2"/>
                                </a:xfrm>
                                <a:custGeom>
                                  <a:avLst/>
                                  <a:gdLst>
                                    <a:gd name="T0" fmla="+- 0 86 86"/>
                                    <a:gd name="T1" fmla="*/ T0 w 11757"/>
                                    <a:gd name="T2" fmla="+- 0 11843 86"/>
                                    <a:gd name="T3" fmla="*/ T2 w 117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757">
                                      <a:moveTo>
                                        <a:pt x="0" y="0"/>
                                      </a:moveTo>
                                      <a:lnTo>
                                        <a:pt x="117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71">
                                  <a:solidFill>
                                    <a:srgbClr val="646464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4.3pt;margin-top:832.1pt;height:0.1pt;width:587.85pt;mso-position-horizontal-relative:page;mso-position-vertical-relative:page;z-index:-251657216;mso-width-relative:page;mso-height-relative:page;" coordorigin="86,16642" coordsize="11757,2" o:gfxdata="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G/RthtkAAAAMAQAADwAAAAAAAAABACAAAAAiAAAAZHJzL2Rvd25yZXYueG1sUEsBAhQAFAAA&#10;AAgAh07iQKtblNELAwAA6gYAAA4AAAAAAAAAAQAgAAAAKAEAAGRycy9lMm9Eb2MueG1sUEsFBgAA&#10;AAAGAAYAWQEAAKUGAAAAAA==&#10;">
                      <o:lock v:ext="edit" aspectratio="f"/>
                      <v:shape id="Freeform 5" o:spid="_x0000_s1026" o:spt="100" style="position:absolute;left:86;top:16642;height:2;width:11757;" filled="f" stroked="t" coordsize="11757,1" o:gfxdata="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LtuPO5AAAA2gAA&#10;AA8AAAAAAAAAAQAgAAAAIgAAAGRycy9kb3ducmV2LnhtbFBLAQIUABQAAAAIAIdO4kAzLwWeOwAA&#10;ADkAAAAQAAAAAAAAAAEAIAAAAAgBAABkcnMvc2hhcGV4bWwueG1sUEsFBgAAAAAGAAYAWwEAALID&#10;AAAAAA==&#10;" path="m0,0l11757,0e">
                        <v:path o:connectlocs="0,0;11757,0" o:connectangles="0,0"/>
                        <v:fill on="f" focussize="0,0"/>
                        <v:stroke weight="0.714251968503937pt" color="#646464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主题表达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（30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3751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记录、展示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“五老”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在中国特色社会主义事业和建设教育强国、科技强国、人才强国中的感人事迹和人生体验，以及对青年学生积极投身教育强国建设实践的重托和建议。突出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“五老”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人物事迹，强调故事性和细节描述，以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“五老”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的个体经历反映出中国特色社会主义教育事业取得的伟大成就。切忌拍摄成“五老”个人简历。根据片子实际情况酌情赋分。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249" w:type="pct"/>
            <w:vAlign w:val="center"/>
          </w:tcPr>
          <w:p>
            <w:pPr>
              <w:pStyle w:val="6"/>
              <w:spacing w:line="4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结构设置</w:t>
            </w:r>
          </w:p>
          <w:p>
            <w:pPr>
              <w:pStyle w:val="6"/>
              <w:spacing w:line="4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51" w:type="pct"/>
            <w:vAlign w:val="center"/>
          </w:tcPr>
          <w:p>
            <w:pPr>
              <w:pStyle w:val="6"/>
              <w:spacing w:line="400" w:lineRule="exact"/>
              <w:rPr>
                <w:rFonts w:ascii="Times New Roman" w:hAnsi="Times New Roman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结构明确、逻辑清晰，悬念设置巧妙且自然，能够突出主题、吸引观众。根据片子实际情况酌情赋分。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249" w:type="pct"/>
            <w:vAlign w:val="center"/>
          </w:tcPr>
          <w:p>
            <w:pPr>
              <w:pStyle w:val="6"/>
              <w:spacing w:line="4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细节和节奏</w:t>
            </w:r>
          </w:p>
          <w:p>
            <w:pPr>
              <w:pStyle w:val="6"/>
              <w:spacing w:line="4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51" w:type="pct"/>
            <w:vAlign w:val="center"/>
          </w:tcPr>
          <w:p>
            <w:pPr>
              <w:pStyle w:val="6"/>
              <w:spacing w:line="400" w:lineRule="exact"/>
              <w:ind w:firstLine="14"/>
              <w:rPr>
                <w:rFonts w:ascii="Times New Roman" w:hAnsi="Times New Roman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把握好叙事节奏和剪辑节奏的和谐统一，达到疏密相问、张弛有度、跌宕起伏。细节运用真实生动，有较强的艺术感染力；画面构图、特效、字幕、片头片尾、暗转等包装处理得当。根据片子实际情况酌情赋分。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9" w:type="pct"/>
            <w:vAlign w:val="center"/>
          </w:tcPr>
          <w:p>
            <w:pPr>
              <w:pStyle w:val="6"/>
              <w:spacing w:line="4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电视语言表达</w:t>
            </w:r>
          </w:p>
          <w:p>
            <w:pPr>
              <w:pStyle w:val="6"/>
              <w:spacing w:line="4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51" w:type="pct"/>
            <w:vAlign w:val="center"/>
          </w:tcPr>
          <w:p>
            <w:pPr>
              <w:pStyle w:val="6"/>
              <w:spacing w:line="400" w:lineRule="exact"/>
              <w:rPr>
                <w:rFonts w:ascii="Times New Roman" w:hAnsi="Times New Roman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画面语言生动且富有特色，能够吸引观众眼球、表达出拍摄主体的内在情绪、心理及表现行为等；解说语言为画面服务，且起到补充和画龙点睛作用；现场语言如采访等，出现时间合适且有对主题阐释等作用，能够很好地渲染影片；字幕语言能够调动观众兴趣，令人印象深刻。根据片子实际情况酌情赋分，电视语言单一，无法讲清事件，无法使观众明白要表达的内容和思想感情的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6"/>
              <w:spacing w:line="4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剪辑和时长</w:t>
            </w:r>
          </w:p>
          <w:p>
            <w:pPr>
              <w:pStyle w:val="6"/>
              <w:spacing w:line="4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51" w:type="pct"/>
            <w:vAlign w:val="center"/>
          </w:tcPr>
          <w:p>
            <w:pPr>
              <w:pStyle w:val="6"/>
              <w:spacing w:line="400" w:lineRule="exact"/>
              <w:ind w:hanging="8"/>
              <w:rPr>
                <w:rFonts w:ascii="Times New Roman" w:hAnsi="Times New Roman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根据影片结构划分篇章结构；镜头衔接自然流畅，转换符合整体节奏，有自己的风格特色，思维逻辑独树一格。根据片子实际情况酌情赋分，如出现跳帧、黑屏等重大技术失误，或时长超过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分钟、不足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分钟的，该项即为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分。根据片子实际情况酌情赋分。</w:t>
            </w:r>
          </w:p>
        </w:tc>
      </w:tr>
    </w:tbl>
    <w:p>
      <w:pPr>
        <w:spacing w:after="312" w:afterLines="100" w:line="480" w:lineRule="exact"/>
        <w:ind w:left="170"/>
        <w:rPr>
          <w:rFonts w:ascii="Times New Roman" w:hAnsi="Times New Roman" w:eastAsia="楷体_GB2312" w:cs="宋体"/>
          <w:b/>
          <w:sz w:val="32"/>
          <w:szCs w:val="32"/>
        </w:rPr>
      </w:pPr>
      <w:r>
        <w:rPr>
          <w:rFonts w:hint="eastAsia" w:ascii="Times New Roman" w:hAnsi="Times New Roman" w:eastAsia="楷体_GB2312" w:cs="宋体"/>
          <w:b/>
          <w:sz w:val="32"/>
          <w:szCs w:val="32"/>
        </w:rPr>
        <w:t>三、舞台剧评审标准（总分100分）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6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332" w:type="pc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主题表达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（30分）</w:t>
            </w:r>
          </w:p>
        </w:tc>
        <w:tc>
          <w:tcPr>
            <w:tcW w:w="3668" w:type="pct"/>
            <w:vAlign w:val="center"/>
          </w:tcPr>
          <w:p>
            <w:pPr>
              <w:pStyle w:val="6"/>
              <w:spacing w:line="480" w:lineRule="exact"/>
              <w:rPr>
                <w:rFonts w:ascii="Times New Roman" w:hAnsi="Times New Roman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记录、展示“五老”在中国特色社会主义事业和建设教育强国、科技强国、人才强国中的感人事迹和人生体验，以及对青年学生积极投身教育强国建设实践的重托和建议。主题鲜明，贴近生活，有深度，引起观众共鸣。若偏题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332" w:type="pc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内容设置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（20分）</w:t>
            </w:r>
          </w:p>
        </w:tc>
        <w:tc>
          <w:tcPr>
            <w:tcW w:w="3668" w:type="pct"/>
            <w:vAlign w:val="center"/>
          </w:tcPr>
          <w:p>
            <w:pPr>
              <w:pStyle w:val="6"/>
              <w:spacing w:line="480" w:lineRule="exact"/>
              <w:rPr>
                <w:rFonts w:ascii="Times New Roman" w:hAnsi="Times New Roman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基于人物事迹，从小点切入，以小见大；剧情编排合理，情节跌岩起伏，矛盾冲突明显；幕与幕之间转换适当。根据剧情设计酌情赋分。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332" w:type="pc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舞台表演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（20分）</w:t>
            </w:r>
          </w:p>
        </w:tc>
        <w:tc>
          <w:tcPr>
            <w:tcW w:w="3668" w:type="pct"/>
            <w:vAlign w:val="center"/>
          </w:tcPr>
          <w:p>
            <w:pPr>
              <w:pStyle w:val="6"/>
              <w:spacing w:line="480" w:lineRule="exact"/>
              <w:ind w:firstLine="14"/>
              <w:rPr>
                <w:rFonts w:ascii="Times New Roman" w:hAnsi="Times New Roman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突出艺术设计与表现力，主题表现清晰，人物性格表现充分，动作得体到位，情感细腻有共鸣，团体合作默契。根据表演酌情赋分。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332" w:type="pc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舞台呈现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（20分）</w:t>
            </w:r>
          </w:p>
        </w:tc>
        <w:tc>
          <w:tcPr>
            <w:tcW w:w="3668" w:type="pct"/>
            <w:vAlign w:val="center"/>
          </w:tcPr>
          <w:p>
            <w:pPr>
              <w:pStyle w:val="6"/>
              <w:spacing w:line="480" w:lineRule="exact"/>
              <w:rPr>
                <w:rFonts w:ascii="Times New Roman" w:hAnsi="Times New Roman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服装符合人物身份特点、合体大方，饰物搭配得当，辅助表现人物性格、剧情效果等；场景布置及道具安排准确反映剧目表达内容及环境。根据视觉效果酌情赋分。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332" w:type="pc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视频录制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（10分）</w:t>
            </w:r>
          </w:p>
        </w:tc>
        <w:tc>
          <w:tcPr>
            <w:tcW w:w="3668" w:type="pct"/>
            <w:vAlign w:val="center"/>
          </w:tcPr>
          <w:p>
            <w:pPr>
              <w:pStyle w:val="6"/>
              <w:spacing w:line="480" w:lineRule="exact"/>
              <w:rPr>
                <w:rFonts w:ascii="Times New Roman" w:hAnsi="Times New Roman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eastAsia="zh-CN"/>
              </w:rPr>
              <w:t>通过切换台进行多机位录制，有不同景别的搭配（远景、全景、中景、近景、特写）；配戴无线话筒对演员进行收音，且声音清晰；背景音乐符合剧情及气氛需要。根据视频呈现酌情赋分。</w:t>
            </w:r>
          </w:p>
        </w:tc>
      </w:tr>
    </w:tbl>
    <w:p>
      <w:pPr>
        <w:spacing w:before="6" w:line="140" w:lineRule="exact"/>
        <w:rPr>
          <w:rFonts w:ascii="楷体_GB2312" w:eastAsia="楷体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NmRlZTdjYzI3MDI0YTU5ZGQyZGY4YWNmNjJlMGMifQ=="/>
  </w:docVars>
  <w:rsids>
    <w:rsidRoot w:val="00000000"/>
    <w:rsid w:val="6C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2024-04-07T08:30:12Z</dcterms:created>
  <dc:creator>lm</dc:creator>
  <cp:lastModifiedBy>lm</cp:lastModifiedBy>
  <dcterms:modified xsi:type="dcterms:W3CDTF">2024-04-07T08:30:50Z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E8E40EDD324B4FAEADFE2358F6931EB2_12</vt:lpwstr>
  </property>
</Properties>
</file>